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4CBDE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附件4：</w:t>
      </w:r>
    </w:p>
    <w:p w14:paraId="138EFE70">
      <w:pPr>
        <w:spacing w:after="156" w:afterLines="5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拟提名2026年度甘肃省科学技术奖项目产出表</w:t>
      </w:r>
    </w:p>
    <w:tbl>
      <w:tblPr>
        <w:tblStyle w:val="1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3261"/>
        <w:gridCol w:w="1275"/>
        <w:gridCol w:w="2552"/>
        <w:gridCol w:w="1843"/>
        <w:gridCol w:w="850"/>
      </w:tblGrid>
      <w:tr w14:paraId="1C23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6FC3DB1D">
            <w:pPr>
              <w:spacing w:before="156" w:beforeLines="50" w:after="156" w:afterLines="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论文/专著</w:t>
            </w:r>
          </w:p>
        </w:tc>
        <w:tc>
          <w:tcPr>
            <w:tcW w:w="3261" w:type="dxa"/>
          </w:tcPr>
          <w:p w14:paraId="47B9CBDD">
            <w:pPr>
              <w:spacing w:before="156" w:beforeLines="50" w:after="156" w:afterLines="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专利</w:t>
            </w:r>
          </w:p>
        </w:tc>
        <w:tc>
          <w:tcPr>
            <w:tcW w:w="1275" w:type="dxa"/>
          </w:tcPr>
          <w:p w14:paraId="3DCEBF84">
            <w:pPr>
              <w:spacing w:before="156" w:beforeLines="50" w:after="156" w:afterLines="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标准</w:t>
            </w:r>
          </w:p>
        </w:tc>
        <w:tc>
          <w:tcPr>
            <w:tcW w:w="2552" w:type="dxa"/>
          </w:tcPr>
          <w:p w14:paraId="3F9609D0">
            <w:pPr>
              <w:spacing w:before="156" w:beforeLines="50" w:after="156" w:afterLines="5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著作权/新品种权</w:t>
            </w:r>
          </w:p>
        </w:tc>
        <w:tc>
          <w:tcPr>
            <w:tcW w:w="1843" w:type="dxa"/>
          </w:tcPr>
          <w:p w14:paraId="7A0348C0">
            <w:pPr>
              <w:spacing w:before="156" w:beforeLines="50" w:after="156" w:afterLine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审(认)定品种</w:t>
            </w:r>
          </w:p>
        </w:tc>
        <w:tc>
          <w:tcPr>
            <w:tcW w:w="850" w:type="dxa"/>
          </w:tcPr>
          <w:p w14:paraId="6B0AE5EF">
            <w:pPr>
              <w:spacing w:before="156" w:beforeLines="50" w:after="156" w:afterLine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其它</w:t>
            </w:r>
          </w:p>
        </w:tc>
      </w:tr>
      <w:tr w14:paraId="1F7D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28B4433A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bookmarkStart w:id="0" w:name="OLE_LINK29"/>
            <w:r>
              <w:rPr>
                <w:rFonts w:ascii="Times New Roman" w:hAnsi="Times New Roman" w:cs="Times New Roman"/>
                <w:bCs/>
                <w:szCs w:val="24"/>
              </w:rPr>
              <w:t xml:space="preserve">Investigation of the Relationship among Water and Crop Production under Bounded Irrigation </w:t>
            </w:r>
          </w:p>
          <w:p w14:paraId="2683DB8B">
            <w:pPr>
              <w:pStyle w:val="18"/>
              <w:ind w:left="360" w:firstLine="0" w:firstLineChars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Conditions</w:t>
            </w:r>
            <w:bookmarkEnd w:id="0"/>
            <w:bookmarkStart w:id="1" w:name="OLE_LINK31"/>
            <w:r>
              <w:rPr>
                <w:rFonts w:ascii="Times New Roman" w:hAnsi="Times New Roman" w:cs="Times New Roman"/>
                <w:bCs/>
                <w:szCs w:val="24"/>
              </w:rPr>
              <w:t>[J]</w:t>
            </w:r>
            <w:bookmarkEnd w:id="1"/>
            <w:r>
              <w:rPr>
                <w:rFonts w:ascii="Times New Roman" w:hAnsi="Times New Roman" w:cs="Times New Roman"/>
                <w:bCs/>
                <w:szCs w:val="24"/>
              </w:rPr>
              <w:t xml:space="preserve">, </w:t>
            </w:r>
            <w:r>
              <w:fldChar w:fldCharType="begin"/>
            </w:r>
            <w:r>
              <w:instrText xml:space="preserve"> HYPERLINK "https://www.scirp.org/journal/journalarticles?journalid=1518" \o "Computational Water, Energy, and Environmental Engineering"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  <w:bCs/>
                <w:color w:val="auto"/>
                <w:szCs w:val="24"/>
                <w:u w:val="none"/>
                <w:shd w:val="clear" w:color="auto" w:fill="FFFFFF"/>
              </w:rPr>
              <w:t>Computational Water, Energy, and Environmental Engineering</w:t>
            </w:r>
            <w:r>
              <w:rPr>
                <w:rStyle w:val="16"/>
                <w:rFonts w:ascii="Times New Roman" w:hAnsi="Times New Roman" w:cs="Times New Roman"/>
                <w:bCs/>
                <w:color w:val="auto"/>
                <w:szCs w:val="24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Times New Roman" w:hAnsi="Times New Roman" w:cs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Cs w:val="24"/>
              </w:rPr>
              <w:t>2021, 10, 18-35.</w:t>
            </w:r>
          </w:p>
          <w:p w14:paraId="2B8A2450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灌溉量和滴灌方式对酿酒葡萄品质的影响及综合评价[J]. 节水灌溉，2023（8）：136-142.</w:t>
            </w:r>
          </w:p>
          <w:p w14:paraId="6D9FC91B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 xml:space="preserve">河西灌区酿酒葡萄水肥一体化的水肥适宜用量 </w:t>
            </w:r>
            <w:bookmarkStart w:id="2" w:name="OLE_LINK30"/>
            <w:r>
              <w:rPr>
                <w:rFonts w:ascii="Times New Roman" w:hAnsi="Times New Roman" w:cs="Times New Roman"/>
                <w:bCs/>
                <w:szCs w:val="24"/>
              </w:rPr>
              <w:t xml:space="preserve">[J]. </w:t>
            </w:r>
            <w:bookmarkEnd w:id="2"/>
            <w:r>
              <w:rPr>
                <w:rFonts w:ascii="Times New Roman" w:hAnsi="Times New Roman" w:cs="Times New Roman"/>
                <w:bCs/>
                <w:szCs w:val="24"/>
              </w:rPr>
              <w:t>经济林研究, 2019, 37(4):81-87.</w:t>
            </w:r>
          </w:p>
          <w:p w14:paraId="25F30BEB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河西灌区酿酒葡萄水肥一体化栽培技术规程[J]. 寒旱农业科学 2023，2(3)：284-287</w:t>
            </w:r>
          </w:p>
          <w:p w14:paraId="781CFAA1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bookmarkStart w:id="3" w:name="OLE_LINK32"/>
            <w:r>
              <w:rPr>
                <w:rFonts w:ascii="Times New Roman" w:hAnsi="Times New Roman" w:cs="Times New Roman"/>
                <w:bCs/>
                <w:szCs w:val="24"/>
              </w:rPr>
              <w:t>减施化肥和配施有机肥对酿酒葡萄梅鹿辄产量和品质的影响</w:t>
            </w:r>
            <w:bookmarkEnd w:id="3"/>
            <w:r>
              <w:rPr>
                <w:rFonts w:ascii="Times New Roman" w:hAnsi="Times New Roman" w:cs="Times New Roman"/>
                <w:bCs/>
                <w:szCs w:val="24"/>
              </w:rPr>
              <w:t>[J]．水土保持通报，2021，41(2)：188-193．</w:t>
            </w:r>
          </w:p>
          <w:p w14:paraId="0AC7DE8A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酿酒葡萄水肥一体化灌溉定额与灌溉布局成本效益分析[J]. 干旱地区农业研究, 2023, 41(05): 70-79.</w:t>
            </w:r>
          </w:p>
          <w:p w14:paraId="30B104EA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葡萄主要香气物质遗传调控研究进展[J]. 西北植物学报, 2024, 44(5): 0836-0844.</w:t>
            </w:r>
          </w:p>
          <w:p w14:paraId="12164201">
            <w:pPr>
              <w:pStyle w:val="18"/>
              <w:widowControl w:val="0"/>
              <w:numPr>
                <w:ilvl w:val="0"/>
                <w:numId w:val="1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盐碱荒漠化戈壁酿酒葡萄的果实品质比较分析[J]. 中国酿造, 2015, 34(06):128-130.</w:t>
            </w:r>
          </w:p>
        </w:tc>
        <w:tc>
          <w:tcPr>
            <w:tcW w:w="3261" w:type="dxa"/>
          </w:tcPr>
          <w:p w14:paraId="7AEECE4B">
            <w:pPr>
              <w:pStyle w:val="1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一种带渣汁分离机构的</w:t>
            </w:r>
            <w:r>
              <w:rPr>
                <w:rFonts w:hint="eastAsia" w:ascii="Times New Roman" w:hAnsi="Times New Roman" w:cs="Times New Roman"/>
                <w:bCs/>
                <w:szCs w:val="21"/>
                <w:lang w:val="en-US" w:eastAsia="zh-CN"/>
              </w:rPr>
              <w:t>葡萄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bCs/>
                <w:szCs w:val="21"/>
              </w:rPr>
              <w:t>压榨机 ZL 2022 2 1226510.7</w:t>
            </w:r>
          </w:p>
          <w:p w14:paraId="366CFA59">
            <w:pPr>
              <w:pStyle w:val="1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一种可连续工作的葡萄筛选机 ZL 2018 2 0001953.3</w:t>
            </w:r>
          </w:p>
          <w:p w14:paraId="0DCCFFC7">
            <w:pPr>
              <w:pStyle w:val="1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一种酿酒葡萄修剪枝制备有机肥装置 ZL 2023 2 1134095.7</w:t>
            </w:r>
          </w:p>
          <w:p w14:paraId="0C7D27CC">
            <w:pPr>
              <w:pStyle w:val="1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一种葡萄冬季无需埋土的深沟栽培方法 ZL 2021 1 1084650.5</w:t>
            </w:r>
          </w:p>
          <w:p w14:paraId="386C80EC">
            <w:pPr>
              <w:pStyle w:val="1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一种易于下架与上架的葡萄树配套装置及其构建使用方法 ZL 2022 1 0062751.0</w:t>
            </w:r>
          </w:p>
          <w:p w14:paraId="359A9FF9">
            <w:pPr>
              <w:pStyle w:val="18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一种应用照光技术生产高白藜芦醇型葡萄酒的方法ZL 2021 1 1084606.4</w:t>
            </w:r>
          </w:p>
        </w:tc>
        <w:tc>
          <w:tcPr>
            <w:tcW w:w="1275" w:type="dxa"/>
          </w:tcPr>
          <w:p w14:paraId="07F7DCD1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2552" w:type="dxa"/>
          </w:tcPr>
          <w:p w14:paraId="4ADEEABC"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基于图像处理的葡萄产量预测系统 V1.0 2023SR1494130</w:t>
            </w:r>
          </w:p>
        </w:tc>
        <w:tc>
          <w:tcPr>
            <w:tcW w:w="1843" w:type="dxa"/>
          </w:tcPr>
          <w:p w14:paraId="64DFF999">
            <w:pPr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850" w:type="dxa"/>
          </w:tcPr>
          <w:p w14:paraId="7F775179">
            <w:pPr>
              <w:rPr>
                <w:b/>
                <w:szCs w:val="21"/>
              </w:rPr>
            </w:pPr>
          </w:p>
        </w:tc>
      </w:tr>
    </w:tbl>
    <w:p w14:paraId="587A18F8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B0522"/>
    <w:multiLevelType w:val="multilevel"/>
    <w:tmpl w:val="051B052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 w:val="0"/>
        <w:bCs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81F156F"/>
    <w:multiLevelType w:val="multilevel"/>
    <w:tmpl w:val="481F156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zNjU1MLE0NTC3MDdR0lEKTi0uzszPAykwrAUA2BsfSSwAAAA="/>
  </w:docVars>
  <w:rsids>
    <w:rsidRoot w:val="00264C49"/>
    <w:rsid w:val="000875A3"/>
    <w:rsid w:val="000F35B3"/>
    <w:rsid w:val="0022347C"/>
    <w:rsid w:val="00264C49"/>
    <w:rsid w:val="003E6241"/>
    <w:rsid w:val="00465611"/>
    <w:rsid w:val="00475D52"/>
    <w:rsid w:val="004D16E0"/>
    <w:rsid w:val="005E238E"/>
    <w:rsid w:val="006551F4"/>
    <w:rsid w:val="006E3248"/>
    <w:rsid w:val="00771976"/>
    <w:rsid w:val="009E3D25"/>
    <w:rsid w:val="00B204C3"/>
    <w:rsid w:val="6F2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C59B00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C59B00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C59B00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C59B00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C59B00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C59B00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FFFFFF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FFFFFF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customStyle="1" w:styleId="17">
    <w:name w:val="p0"/>
    <w:basedOn w:val="1"/>
    <w:qFormat/>
    <w:uiPriority w:val="0"/>
    <w:pPr>
      <w:widowControl/>
    </w:pPr>
    <w:rPr>
      <w:rFonts w:cs="Times New Roman"/>
      <w:kern w:val="0"/>
      <w:szCs w:val="21"/>
    </w:rPr>
  </w:style>
  <w:style w:type="paragraph" w:styleId="1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表目录"/>
    <w:basedOn w:val="1"/>
    <w:qFormat/>
    <w:uiPriority w:val="0"/>
    <w:pPr>
      <w:spacing w:line="360" w:lineRule="auto"/>
      <w:jc w:val="center"/>
    </w:pPr>
    <w:rPr>
      <w:rFonts w:eastAsia="黑体"/>
      <w:b/>
      <w:bCs/>
      <w:color w:val="FFCA08" w:themeColor="accent1"/>
      <w:lang w:val="zh-CN"/>
      <w14:textFill>
        <w14:solidFill>
          <w14:schemeClr w14:val="accent1"/>
        </w14:solidFill>
      </w14:textFill>
    </w:rPr>
  </w:style>
  <w:style w:type="paragraph" w:customStyle="1" w:styleId="20">
    <w:name w:val="图样式111"/>
    <w:basedOn w:val="1"/>
    <w:qFormat/>
    <w:uiPriority w:val="0"/>
    <w:pPr>
      <w:spacing w:before="156" w:beforeLines="50" w:line="360" w:lineRule="auto"/>
      <w:jc w:val="center"/>
    </w:pPr>
    <w:rPr>
      <w:rFonts w:eastAsia="黑体" w:cs="Times New Roman"/>
      <w:bCs/>
      <w:szCs w:val="21"/>
    </w:rPr>
  </w:style>
  <w:style w:type="paragraph" w:customStyle="1" w:styleId="21">
    <w:name w:val="表目录111"/>
    <w:basedOn w:val="19"/>
    <w:qFormat/>
    <w:uiPriority w:val="0"/>
    <w:pPr>
      <w:jc w:val="left"/>
    </w:pPr>
  </w:style>
  <w:style w:type="paragraph" w:customStyle="1" w:styleId="22">
    <w:name w:val="目录123"/>
    <w:basedOn w:val="19"/>
    <w:qFormat/>
    <w:uiPriority w:val="0"/>
    <w:pPr>
      <w:jc w:val="left"/>
    </w:pPr>
    <w:rPr>
      <w:color w:val="39302A" w:themeColor="text2"/>
      <w:szCs w:val="30"/>
      <w14:textFill>
        <w14:solidFill>
          <w14:schemeClr w14:val="tx2"/>
        </w14:solidFill>
      </w14:textFill>
    </w:rPr>
  </w:style>
  <w:style w:type="character" w:customStyle="1" w:styleId="23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C59B00" w:themeColor="accent1" w:themeShade="BF"/>
      <w:sz w:val="48"/>
      <w:szCs w:val="48"/>
    </w:rPr>
  </w:style>
  <w:style w:type="character" w:customStyle="1" w:styleId="24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C59B00" w:themeColor="accent1" w:themeShade="BF"/>
      <w:sz w:val="40"/>
      <w:szCs w:val="40"/>
    </w:rPr>
  </w:style>
  <w:style w:type="character" w:customStyle="1" w:styleId="25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C59B00" w:themeColor="accent1" w:themeShade="BF"/>
      <w:sz w:val="32"/>
      <w:szCs w:val="32"/>
    </w:rPr>
  </w:style>
  <w:style w:type="character" w:customStyle="1" w:styleId="26">
    <w:name w:val="标题 4 字符"/>
    <w:basedOn w:val="15"/>
    <w:link w:val="5"/>
    <w:semiHidden/>
    <w:qFormat/>
    <w:uiPriority w:val="9"/>
    <w:rPr>
      <w:rFonts w:cstheme="majorBidi"/>
      <w:color w:val="C59B00" w:themeColor="accent1" w:themeShade="BF"/>
      <w:sz w:val="28"/>
      <w:szCs w:val="28"/>
    </w:rPr>
  </w:style>
  <w:style w:type="character" w:customStyle="1" w:styleId="27">
    <w:name w:val="标题 5 字符"/>
    <w:basedOn w:val="15"/>
    <w:link w:val="6"/>
    <w:semiHidden/>
    <w:qFormat/>
    <w:uiPriority w:val="9"/>
    <w:rPr>
      <w:rFonts w:cstheme="majorBidi"/>
      <w:color w:val="C59B00" w:themeColor="accent1" w:themeShade="BF"/>
      <w:sz w:val="24"/>
      <w:szCs w:val="24"/>
    </w:rPr>
  </w:style>
  <w:style w:type="character" w:customStyle="1" w:styleId="28">
    <w:name w:val="标题 6 字符"/>
    <w:basedOn w:val="15"/>
    <w:link w:val="7"/>
    <w:semiHidden/>
    <w:qFormat/>
    <w:uiPriority w:val="9"/>
    <w:rPr>
      <w:rFonts w:cstheme="majorBidi"/>
      <w:b/>
      <w:bCs/>
      <w:color w:val="C59B00" w:themeColor="accent1" w:themeShade="BF"/>
      <w:szCs w:val="24"/>
    </w:rPr>
  </w:style>
  <w:style w:type="character" w:customStyle="1" w:styleId="29">
    <w:name w:val="标题 7 字符"/>
    <w:basedOn w:val="15"/>
    <w:link w:val="8"/>
    <w:semiHidden/>
    <w:qFormat/>
    <w:uiPriority w:val="9"/>
    <w:rPr>
      <w:rFonts w:cstheme="majorBidi"/>
      <w:b/>
      <w:bCs/>
      <w:color w:val="FFFFFF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5"/>
    <w:link w:val="9"/>
    <w:semiHidden/>
    <w:qFormat/>
    <w:uiPriority w:val="9"/>
    <w:rPr>
      <w:rFonts w:cstheme="majorBidi"/>
      <w:color w:val="FFFFFF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5"/>
    <w:link w:val="10"/>
    <w:semiHidden/>
    <w:qFormat/>
    <w:uiPriority w:val="9"/>
    <w:rPr>
      <w:rFonts w:eastAsiaTheme="majorEastAsia" w:cstheme="majorBidi"/>
      <w:color w:val="FFFFFF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FFFFFF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FFFFFF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5"/>
    <w:link w:val="34"/>
    <w:qFormat/>
    <w:uiPriority w:val="29"/>
    <w:rPr>
      <w:rFonts w:ascii="Times New Roman" w:hAnsi="Times New Roman" w:eastAsia="宋体"/>
      <w:i/>
      <w:iCs/>
      <w:color w:val="FFFFFF" w:themeColor="text1" w:themeTint="BF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Intense Emphasis"/>
    <w:basedOn w:val="15"/>
    <w:qFormat/>
    <w:uiPriority w:val="21"/>
    <w:rPr>
      <w:i/>
      <w:iCs/>
      <w:color w:val="C59B00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C49A00" w:themeColor="accent1" w:themeShade="BF" w:sz="4" w:space="10"/>
        <w:bottom w:val="single" w:color="C49A00" w:themeColor="accent1" w:themeShade="BF" w:sz="4" w:space="10"/>
      </w:pBdr>
      <w:spacing w:before="360" w:after="360"/>
      <w:ind w:left="864" w:right="864"/>
      <w:jc w:val="center"/>
    </w:pPr>
    <w:rPr>
      <w:i/>
      <w:iCs/>
      <w:color w:val="C59B00" w:themeColor="accent1" w:themeShade="BF"/>
    </w:rPr>
  </w:style>
  <w:style w:type="character" w:customStyle="1" w:styleId="38">
    <w:name w:val="明显引用 字符"/>
    <w:basedOn w:val="15"/>
    <w:link w:val="37"/>
    <w:qFormat/>
    <w:uiPriority w:val="30"/>
    <w:rPr>
      <w:rFonts w:ascii="Times New Roman" w:hAnsi="Times New Roman" w:eastAsia="宋体"/>
      <w:i/>
      <w:iCs/>
      <w:color w:val="C59B00" w:themeColor="accent1" w:themeShade="BF"/>
      <w:szCs w:val="24"/>
    </w:rPr>
  </w:style>
  <w:style w:type="character" w:customStyle="1" w:styleId="39">
    <w:name w:val="Intense Reference"/>
    <w:basedOn w:val="15"/>
    <w:qFormat/>
    <w:uiPriority w:val="32"/>
    <w:rPr>
      <w:b/>
      <w:bCs/>
      <w:smallCaps/>
      <w:color w:val="C59B00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FFFFFF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448</Words>
  <Characters>798</Characters>
  <Lines>7</Lines>
  <Paragraphs>2</Paragraphs>
  <TotalTime>8</TotalTime>
  <ScaleCrop>false</ScaleCrop>
  <LinksUpToDate>false</LinksUpToDate>
  <CharactersWithSpaces>862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2026-05-19T03:38:00Z</dcterms:created>
  <dc:creator>Grace-Chen</dc:creator>
  <cp:lastModifiedBy>微信用户</cp:lastModifiedBy>
  <dcterms:modified xsi:type="dcterms:W3CDTF">2026-05-20T06:50:44Z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eyJoZGlkIjoiYTdjMmJhMzY3M2IxYWY5OWRiNjA0ZTc3NGNiOGIyNGMiLCJ1c2VySWQiOiIxMjEzMTcwMDUzIn0=</vt:lpwstr>
  </property>
  <property fmtid="{D5CDD505-2E9C-101B-9397-08002B2CF9AE}" pid="3" name="KSOProductBuildVer">
    <vt:lpwstr>2052-12.1.0.25865</vt:lpwstr>
  </property>
  <property fmtid="{D5CDD505-2E9C-101B-9397-08002B2CF9AE}" pid="4" name="ICV">
    <vt:lpwstr>92598D013E414F388E89A3F956B7614F_12</vt:lpwstr>
  </property>
</Properties>
</file>